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 w:cs="仿宋"/>
          <w:sz w:val="28"/>
          <w:szCs w:val="28"/>
        </w:rPr>
      </w:pPr>
      <w:r>
        <w:rPr>
          <w:rFonts w:hint="eastAsia" w:ascii="黑体" w:hAnsi="仿宋" w:eastAsia="黑体" w:cs="仿宋"/>
          <w:sz w:val="28"/>
          <w:szCs w:val="28"/>
        </w:rPr>
        <w:t>附件</w:t>
      </w:r>
      <w:r>
        <w:rPr>
          <w:rFonts w:ascii="黑体" w:hAnsi="仿宋" w:eastAsia="黑体" w:cs="仿宋"/>
          <w:sz w:val="28"/>
          <w:szCs w:val="28"/>
        </w:rPr>
        <w:t>2</w:t>
      </w:r>
    </w:p>
    <w:p>
      <w:pPr>
        <w:ind w:firstLine="420"/>
        <w:jc w:val="center"/>
        <w:rPr>
          <w:rFonts w:ascii="方正小标宋简体" w:hAnsi="黑体" w:eastAsia="方正小标宋简体" w:cs="华文中宋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华文中宋"/>
          <w:b/>
          <w:bCs/>
          <w:sz w:val="36"/>
          <w:szCs w:val="36"/>
        </w:rPr>
        <w:t>二级门户网站建设管理考核评比指标</w:t>
      </w:r>
    </w:p>
    <w:bookmarkEnd w:id="0"/>
    <w:tbl>
      <w:tblPr>
        <w:tblStyle w:val="5"/>
        <w:tblW w:w="924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6"/>
        <w:gridCol w:w="6711"/>
        <w:gridCol w:w="8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67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Cs w:val="21"/>
              </w:rPr>
              <w:t>考</w:t>
            </w:r>
            <w:r>
              <w:rPr>
                <w:rFonts w:ascii="方正仿宋简体" w:hAnsi="宋体" w:eastAsia="方正仿宋简体" w:cs="宋体"/>
                <w:b/>
                <w:bCs/>
                <w:kern w:val="0"/>
                <w:szCs w:val="21"/>
              </w:rPr>
              <w:t>  </w:t>
            </w: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Cs w:val="21"/>
              </w:rPr>
              <w:t>评</w:t>
            </w:r>
            <w:r>
              <w:rPr>
                <w:rFonts w:ascii="方正仿宋简体" w:hAnsi="宋体" w:eastAsia="方正仿宋简体" w:cs="宋体"/>
                <w:b/>
                <w:bCs/>
                <w:kern w:val="0"/>
                <w:szCs w:val="21"/>
              </w:rPr>
              <w:t>  </w:t>
            </w: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Cs w:val="21"/>
              </w:rPr>
              <w:t>标</w:t>
            </w:r>
            <w:r>
              <w:rPr>
                <w:rFonts w:ascii="方正仿宋简体" w:hAnsi="宋体" w:eastAsia="方正仿宋简体" w:cs="宋体"/>
                <w:b/>
                <w:bCs/>
                <w:kern w:val="0"/>
                <w:szCs w:val="21"/>
              </w:rPr>
              <w:t>  </w:t>
            </w: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Cs w:val="21"/>
              </w:rPr>
              <w:t>准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16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网站管理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（共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20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6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领导分工明确，是否明确主要领导负责网站建设和管理；是否明确专门人员从事网站管理、维护工作。（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5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6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是否制定有相应的管理制度，包括信息发布审批备案制度、信息安全突发事件处理预案。（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6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6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是否留存有工作日志或稿件审批原始材料。（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5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6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网站内容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（共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40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6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是否存在或出现过内容安全问题。（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6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栏目齐全，格式规范，数据准确，语句通顺，无错别字。（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6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是否存在栏目内容空白的情况。（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5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6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信息更新及时，是否做到了动态信息至少每周更新一次。（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5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6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信息质量高，其中系部被学校门户网站采用的信息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20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条以上；党政管理机构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条以上，均以信息发布时实际署名及来源为准。（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16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网站形式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与特色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（共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30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6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网站首页布局合理、清新美观，徽标、网页横幅、导航栏等设计与本单位特点紧密关联。（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6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6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色彩搭配谐调，符合部门特点。字体美观，清楚，图片、动画、特效等运用得当。（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6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6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网站有站点导航链接，且具有专业特色或本职特色，切实发挥实际作用；无不良网站链接。（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5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</w:trPr>
        <w:tc>
          <w:tcPr>
            <w:tcW w:w="16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6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网站能充分体现本单位的特色，能反映办学水平以及队伍建设、人才培养、对外交流与合作等情况；党政机关、教辅部门网站能充分体现服务意识、对外发挥职能部门的窗口作用。（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5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总体规范性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（共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5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6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对照学院二级门户网站建设与管理规范，是否存在偏离或违反规范的问题（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5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安全管理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（共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5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6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数据是否定期备份。（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5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仿宋简体" w:hAnsi="宋体" w:eastAsia="方正仿宋简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总分</w:t>
            </w:r>
            <w:r>
              <w:rPr>
                <w:rFonts w:ascii="方正仿宋简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分</w:t>
            </w:r>
          </w:p>
        </w:tc>
        <w:tc>
          <w:tcPr>
            <w:tcW w:w="6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6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0236B"/>
    <w:rsid w:val="7040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2017-11-02T02:15:00Z</dcterms:created>
  <dc:creator>1385602148</dc:creator>
  <cp:lastModifiedBy>1385602148</cp:lastModifiedBy>
  <dcterms:modified xsi:type="dcterms:W3CDTF">2017-11-02T02:16:06Z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